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659C5"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«follow-on»-</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Если бы в августе 2008 г. была осуществлена поставка 62 140 тонн белитового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Для производства цемента у истца имелись все необходимые ресурсы, за исключением белитового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w:t>
      </w:r>
      <w:r w:rsidRPr="004436FA">
        <w:rPr>
          <w:rFonts w:ascii="Times New Roman" w:hAnsi="Times New Roman"/>
          <w:sz w:val="28"/>
          <w:szCs w:val="28"/>
        </w:rPr>
        <w:t xml:space="preserve"> незаключения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.1.1. Контрфактуальный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2.2. Аналитические подходы, используемые для проведения контрфактуального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контрфактуального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экспоненциальная 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2.3. Источники информации для проведения контрфактуального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3054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304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384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384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225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22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льший вред, чем сверх-прибыль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КП – контрфактуальная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type w14:anchorId="07B2E90A" id="_x0000_t202" coordsize="21600,21600" o:spt="202" path="m,l,21600r21600,l21600,xe">
                <v:stroke joinstyle="miter"/>
                <v:path gradientshapeok="t" o:connecttype="rect"/>
              </v:shapetype>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плата за технологическое присоединение к электрическим сетям владельцев энергопринимающих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также соблюдать запрет на препятствование перетоку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перетоку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3B" w:rsidRDefault="00334D3B" w:rsidP="000B72A0">
      <w:pPr>
        <w:spacing w:after="0" w:line="240" w:lineRule="auto"/>
      </w:pPr>
      <w:r>
        <w:separator/>
      </w:r>
    </w:p>
  </w:endnote>
  <w:endnote w:type="continuationSeparator" w:id="0">
    <w:p w:rsidR="00334D3B" w:rsidRDefault="00334D3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F659C5">
          <w:rPr>
            <w:noProof/>
          </w:rPr>
          <w:t>14</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3B" w:rsidRDefault="00334D3B" w:rsidP="000B72A0">
      <w:pPr>
        <w:spacing w:after="0" w:line="240" w:lineRule="auto"/>
      </w:pPr>
      <w:r>
        <w:separator/>
      </w:r>
    </w:p>
  </w:footnote>
  <w:footnote w:type="continuationSeparator" w:id="0">
    <w:p w:rsidR="00334D3B" w:rsidRDefault="00334D3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15:restartNumberingAfterBreak="0">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15:restartNumberingAfterBreak="0">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15:restartNumberingAfterBreak="0">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15:restartNumberingAfterBreak="0">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15:restartNumberingAfterBreak="0">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659C5"/>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smooth val="0"/>
        <c:axId val="52938872"/>
        <c:axId val="240144688"/>
      </c:lineChart>
      <c:catAx>
        <c:axId val="52938872"/>
        <c:scaling>
          <c:orientation val="minMax"/>
        </c:scaling>
        <c:delete val="0"/>
        <c:axPos val="b"/>
        <c:numFmt formatCode="General" sourceLinked="1"/>
        <c:majorTickMark val="out"/>
        <c:minorTickMark val="none"/>
        <c:tickLblPos val="nextTo"/>
        <c:txPr>
          <a:bodyPr rot="-2700000"/>
          <a:lstStyle/>
          <a:p>
            <a:pPr>
              <a:defRPr/>
            </a:pPr>
            <a:endParaRPr lang="ru-RU"/>
          </a:p>
        </c:txPr>
        <c:crossAx val="240144688"/>
        <c:crosses val="autoZero"/>
        <c:auto val="1"/>
        <c:lblAlgn val="ctr"/>
        <c:lblOffset val="100"/>
        <c:tickLblSkip val="1"/>
        <c:noMultiLvlLbl val="0"/>
      </c:catAx>
      <c:valAx>
        <c:axId val="240144688"/>
        <c:scaling>
          <c:orientation val="minMax"/>
          <c:min val="6"/>
        </c:scaling>
        <c:delete val="0"/>
        <c:axPos val="l"/>
        <c:majorGridlines/>
        <c:numFmt formatCode="General" sourceLinked="1"/>
        <c:majorTickMark val="out"/>
        <c:minorTickMark val="none"/>
        <c:tickLblPos val="nextTo"/>
        <c:crossAx val="5293887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smooth val="0"/>
        <c:axId val="160179936"/>
        <c:axId val="160179544"/>
      </c:lineChart>
      <c:catAx>
        <c:axId val="160179936"/>
        <c:scaling>
          <c:orientation val="minMax"/>
        </c:scaling>
        <c:delete val="0"/>
        <c:axPos val="b"/>
        <c:numFmt formatCode="General" sourceLinked="1"/>
        <c:majorTickMark val="out"/>
        <c:minorTickMark val="none"/>
        <c:tickLblPos val="nextTo"/>
        <c:txPr>
          <a:bodyPr rot="-2700000"/>
          <a:lstStyle/>
          <a:p>
            <a:pPr>
              <a:defRPr/>
            </a:pPr>
            <a:endParaRPr lang="ru-RU"/>
          </a:p>
        </c:txPr>
        <c:crossAx val="160179544"/>
        <c:crosses val="autoZero"/>
        <c:auto val="1"/>
        <c:lblAlgn val="ctr"/>
        <c:lblOffset val="100"/>
        <c:noMultiLvlLbl val="0"/>
      </c:catAx>
      <c:valAx>
        <c:axId val="160179544"/>
        <c:scaling>
          <c:orientation val="minMax"/>
          <c:min val="6"/>
        </c:scaling>
        <c:delete val="0"/>
        <c:axPos val="l"/>
        <c:majorGridlines/>
        <c:numFmt formatCode="General" sourceLinked="1"/>
        <c:majorTickMark val="out"/>
        <c:minorTickMark val="none"/>
        <c:tickLblPos val="nextTo"/>
        <c:crossAx val="160179936"/>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smooth val="0"/>
        <c:axId val="244104200"/>
        <c:axId val="244104592"/>
      </c:lineChart>
      <c:catAx>
        <c:axId val="244104200"/>
        <c:scaling>
          <c:orientation val="minMax"/>
        </c:scaling>
        <c:delete val="0"/>
        <c:axPos val="b"/>
        <c:numFmt formatCode="General" sourceLinked="1"/>
        <c:majorTickMark val="out"/>
        <c:minorTickMark val="none"/>
        <c:tickLblPos val="nextTo"/>
        <c:crossAx val="244104592"/>
        <c:crosses val="autoZero"/>
        <c:auto val="1"/>
        <c:lblAlgn val="ctr"/>
        <c:lblOffset val="100"/>
        <c:noMultiLvlLbl val="0"/>
      </c:catAx>
      <c:valAx>
        <c:axId val="244104592"/>
        <c:scaling>
          <c:orientation val="minMax"/>
          <c:min val="6"/>
        </c:scaling>
        <c:delete val="0"/>
        <c:axPos val="l"/>
        <c:majorGridlines/>
        <c:numFmt formatCode="General" sourceLinked="1"/>
        <c:majorTickMark val="out"/>
        <c:minorTickMark val="none"/>
        <c:tickLblPos val="nextTo"/>
        <c:crossAx val="244104200"/>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44105376"/>
        <c:axId val="244105768"/>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44106160"/>
        <c:axId val="244106552"/>
      </c:scatterChart>
      <c:catAx>
        <c:axId val="244105376"/>
        <c:scaling>
          <c:orientation val="minMax"/>
        </c:scaling>
        <c:delete val="0"/>
        <c:axPos val="b"/>
        <c:numFmt formatCode="General" sourceLinked="1"/>
        <c:majorTickMark val="out"/>
        <c:minorTickMark val="none"/>
        <c:tickLblPos val="nextTo"/>
        <c:crossAx val="244105768"/>
        <c:crosses val="autoZero"/>
        <c:auto val="1"/>
        <c:lblAlgn val="ctr"/>
        <c:lblOffset val="100"/>
        <c:tickMarkSkip val="3"/>
        <c:noMultiLvlLbl val="0"/>
      </c:catAx>
      <c:valAx>
        <c:axId val="244105768"/>
        <c:scaling>
          <c:orientation val="minMax"/>
          <c:max val="0.27"/>
          <c:min val="0"/>
        </c:scaling>
        <c:delete val="0"/>
        <c:axPos val="l"/>
        <c:majorGridlines/>
        <c:numFmt formatCode="0%" sourceLinked="0"/>
        <c:majorTickMark val="out"/>
        <c:minorTickMark val="none"/>
        <c:tickLblPos val="nextTo"/>
        <c:crossAx val="244105376"/>
        <c:crosses val="autoZero"/>
        <c:crossBetween val="midCat"/>
        <c:majorUnit val="0.1"/>
      </c:valAx>
      <c:valAx>
        <c:axId val="244106160"/>
        <c:scaling>
          <c:orientation val="minMax"/>
        </c:scaling>
        <c:delete val="1"/>
        <c:axPos val="t"/>
        <c:numFmt formatCode="General" sourceLinked="1"/>
        <c:majorTickMark val="out"/>
        <c:minorTickMark val="none"/>
        <c:tickLblPos val="none"/>
        <c:crossAx val="244106552"/>
        <c:crosses val="max"/>
        <c:crossBetween val="midCat"/>
      </c:valAx>
      <c:valAx>
        <c:axId val="244106552"/>
        <c:scaling>
          <c:orientation val="minMax"/>
        </c:scaling>
        <c:delete val="1"/>
        <c:axPos val="r"/>
        <c:numFmt formatCode="General" sourceLinked="1"/>
        <c:majorTickMark val="out"/>
        <c:minorTickMark val="none"/>
        <c:tickLblPos val="none"/>
        <c:crossAx val="244106160"/>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244107336"/>
        <c:axId val="244107728"/>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44107336"/>
        <c:axId val="244107728"/>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45056976"/>
        <c:axId val="245057368"/>
      </c:scatterChart>
      <c:catAx>
        <c:axId val="244107336"/>
        <c:scaling>
          <c:orientation val="minMax"/>
        </c:scaling>
        <c:delete val="0"/>
        <c:axPos val="b"/>
        <c:numFmt formatCode="General" sourceLinked="1"/>
        <c:majorTickMark val="out"/>
        <c:minorTickMark val="none"/>
        <c:tickLblPos val="nextTo"/>
        <c:crossAx val="244107728"/>
        <c:crosses val="autoZero"/>
        <c:auto val="1"/>
        <c:lblAlgn val="ctr"/>
        <c:lblOffset val="100"/>
        <c:tickMarkSkip val="3"/>
        <c:noMultiLvlLbl val="0"/>
      </c:catAx>
      <c:valAx>
        <c:axId val="244107728"/>
        <c:scaling>
          <c:orientation val="minMax"/>
          <c:max val="0.27"/>
          <c:min val="0"/>
        </c:scaling>
        <c:delete val="0"/>
        <c:axPos val="l"/>
        <c:majorGridlines/>
        <c:numFmt formatCode="General" sourceLinked="1"/>
        <c:majorTickMark val="out"/>
        <c:minorTickMark val="none"/>
        <c:tickLblPos val="none"/>
        <c:crossAx val="244107336"/>
        <c:crosses val="autoZero"/>
        <c:crossBetween val="midCat"/>
        <c:majorUnit val="0.1"/>
      </c:valAx>
      <c:valAx>
        <c:axId val="245056976"/>
        <c:scaling>
          <c:orientation val="minMax"/>
        </c:scaling>
        <c:delete val="1"/>
        <c:axPos val="t"/>
        <c:numFmt formatCode="General" sourceLinked="1"/>
        <c:majorTickMark val="out"/>
        <c:minorTickMark val="none"/>
        <c:tickLblPos val="none"/>
        <c:crossAx val="245057368"/>
        <c:crosses val="max"/>
        <c:crossBetween val="midCat"/>
      </c:valAx>
      <c:valAx>
        <c:axId val="245057368"/>
        <c:scaling>
          <c:orientation val="minMax"/>
        </c:scaling>
        <c:delete val="1"/>
        <c:axPos val="r"/>
        <c:numFmt formatCode="General" sourceLinked="1"/>
        <c:majorTickMark val="out"/>
        <c:minorTickMark val="none"/>
        <c:tickLblPos val="none"/>
        <c:crossAx val="245056976"/>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45058544"/>
        <c:axId val="245058936"/>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45059720"/>
        <c:axId val="245059328"/>
      </c:scatterChart>
      <c:catAx>
        <c:axId val="245058544"/>
        <c:scaling>
          <c:orientation val="minMax"/>
        </c:scaling>
        <c:delete val="0"/>
        <c:axPos val="b"/>
        <c:numFmt formatCode="General" sourceLinked="1"/>
        <c:majorTickMark val="out"/>
        <c:minorTickMark val="none"/>
        <c:tickLblPos val="nextTo"/>
        <c:crossAx val="245058936"/>
        <c:crosses val="autoZero"/>
        <c:auto val="1"/>
        <c:lblAlgn val="ctr"/>
        <c:lblOffset val="100"/>
        <c:tickMarkSkip val="3"/>
        <c:noMultiLvlLbl val="0"/>
      </c:catAx>
      <c:valAx>
        <c:axId val="245058936"/>
        <c:scaling>
          <c:orientation val="minMax"/>
          <c:max val="130"/>
          <c:min val="0"/>
        </c:scaling>
        <c:delete val="0"/>
        <c:axPos val="l"/>
        <c:majorGridlines/>
        <c:numFmt formatCode="#,##0_);\(#,##0\)" sourceLinked="0"/>
        <c:majorTickMark val="out"/>
        <c:minorTickMark val="none"/>
        <c:tickLblPos val="nextTo"/>
        <c:crossAx val="245058544"/>
        <c:crosses val="autoZero"/>
        <c:crossBetween val="midCat"/>
        <c:majorUnit val="20"/>
      </c:valAx>
      <c:valAx>
        <c:axId val="245059328"/>
        <c:scaling>
          <c:orientation val="minMax"/>
        </c:scaling>
        <c:delete val="1"/>
        <c:axPos val="r"/>
        <c:numFmt formatCode="General" sourceLinked="1"/>
        <c:majorTickMark val="out"/>
        <c:minorTickMark val="none"/>
        <c:tickLblPos val="none"/>
        <c:crossAx val="245059720"/>
        <c:crosses val="max"/>
        <c:crossBetween val="midCat"/>
      </c:valAx>
      <c:valAx>
        <c:axId val="245059720"/>
        <c:scaling>
          <c:orientation val="minMax"/>
        </c:scaling>
        <c:delete val="1"/>
        <c:axPos val="t"/>
        <c:numFmt formatCode="General" sourceLinked="1"/>
        <c:majorTickMark val="out"/>
        <c:minorTickMark val="none"/>
        <c:tickLblPos val="none"/>
        <c:crossAx val="245059328"/>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245409880"/>
        <c:axId val="245409488"/>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45060504"/>
        <c:axId val="245409096"/>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45409880"/>
        <c:axId val="245409488"/>
      </c:scatterChart>
      <c:catAx>
        <c:axId val="245060504"/>
        <c:scaling>
          <c:orientation val="minMax"/>
        </c:scaling>
        <c:delete val="0"/>
        <c:axPos val="b"/>
        <c:numFmt formatCode="General" sourceLinked="1"/>
        <c:majorTickMark val="out"/>
        <c:minorTickMark val="none"/>
        <c:tickLblPos val="nextTo"/>
        <c:crossAx val="245409096"/>
        <c:crosses val="autoZero"/>
        <c:auto val="1"/>
        <c:lblAlgn val="ctr"/>
        <c:lblOffset val="100"/>
        <c:tickMarkSkip val="3"/>
        <c:noMultiLvlLbl val="0"/>
      </c:catAx>
      <c:valAx>
        <c:axId val="245409096"/>
        <c:scaling>
          <c:orientation val="minMax"/>
          <c:max val="130"/>
          <c:min val="0"/>
        </c:scaling>
        <c:delete val="0"/>
        <c:axPos val="l"/>
        <c:majorGridlines/>
        <c:numFmt formatCode="#,##0_);\(#,##0\)" sourceLinked="0"/>
        <c:majorTickMark val="out"/>
        <c:minorTickMark val="none"/>
        <c:tickLblPos val="nextTo"/>
        <c:crossAx val="245060504"/>
        <c:crosses val="autoZero"/>
        <c:crossBetween val="between"/>
        <c:majorUnit val="20"/>
      </c:valAx>
      <c:valAx>
        <c:axId val="245409488"/>
        <c:scaling>
          <c:orientation val="minMax"/>
        </c:scaling>
        <c:delete val="1"/>
        <c:axPos val="r"/>
        <c:numFmt formatCode="General" sourceLinked="1"/>
        <c:majorTickMark val="out"/>
        <c:minorTickMark val="none"/>
        <c:tickLblPos val="none"/>
        <c:crossAx val="245409880"/>
        <c:crosses val="max"/>
        <c:crossBetween val="between"/>
      </c:valAx>
      <c:catAx>
        <c:axId val="245409880"/>
        <c:scaling>
          <c:orientation val="minMax"/>
        </c:scaling>
        <c:delete val="1"/>
        <c:axPos val="t"/>
        <c:numFmt formatCode="General" sourceLinked="1"/>
        <c:majorTickMark val="out"/>
        <c:minorTickMark val="none"/>
        <c:tickLblPos val="none"/>
        <c:crossAx val="245409488"/>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245058152"/>
        <c:axId val="245410664"/>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245411448"/>
        <c:axId val="245411056"/>
      </c:scatterChart>
      <c:catAx>
        <c:axId val="245058152"/>
        <c:scaling>
          <c:orientation val="minMax"/>
        </c:scaling>
        <c:delete val="0"/>
        <c:axPos val="b"/>
        <c:numFmt formatCode="General" sourceLinked="1"/>
        <c:majorTickMark val="out"/>
        <c:minorTickMark val="none"/>
        <c:tickLblPos val="nextTo"/>
        <c:crossAx val="245410664"/>
        <c:crosses val="autoZero"/>
        <c:auto val="1"/>
        <c:lblAlgn val="ctr"/>
        <c:lblOffset val="100"/>
        <c:tickMarkSkip val="3"/>
        <c:noMultiLvlLbl val="0"/>
      </c:catAx>
      <c:valAx>
        <c:axId val="245410664"/>
        <c:scaling>
          <c:orientation val="minMax"/>
          <c:max val="0.55000000000000004"/>
          <c:min val="0"/>
        </c:scaling>
        <c:delete val="0"/>
        <c:axPos val="l"/>
        <c:majorGridlines/>
        <c:numFmt formatCode="0%" sourceLinked="0"/>
        <c:majorTickMark val="out"/>
        <c:minorTickMark val="none"/>
        <c:tickLblPos val="nextTo"/>
        <c:crossAx val="245058152"/>
        <c:crosses val="autoZero"/>
        <c:crossBetween val="midCat"/>
        <c:majorUnit val="0.2"/>
      </c:valAx>
      <c:valAx>
        <c:axId val="245411056"/>
        <c:scaling>
          <c:orientation val="minMax"/>
        </c:scaling>
        <c:delete val="1"/>
        <c:axPos val="r"/>
        <c:numFmt formatCode="General" sourceLinked="1"/>
        <c:majorTickMark val="out"/>
        <c:minorTickMark val="none"/>
        <c:tickLblPos val="none"/>
        <c:crossAx val="245411448"/>
        <c:crosses val="max"/>
        <c:crossBetween val="midCat"/>
      </c:valAx>
      <c:valAx>
        <c:axId val="245411448"/>
        <c:scaling>
          <c:orientation val="minMax"/>
        </c:scaling>
        <c:delete val="1"/>
        <c:axPos val="t"/>
        <c:numFmt formatCode="General" sourceLinked="1"/>
        <c:majorTickMark val="out"/>
        <c:minorTickMark val="none"/>
        <c:tickLblPos val="none"/>
        <c:crossAx val="245411056"/>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245616296"/>
        <c:axId val="245615904"/>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245412232"/>
        <c:axId val="245412624"/>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245616296"/>
        <c:axId val="245615904"/>
      </c:scatterChart>
      <c:catAx>
        <c:axId val="245412232"/>
        <c:scaling>
          <c:orientation val="minMax"/>
        </c:scaling>
        <c:delete val="0"/>
        <c:axPos val="b"/>
        <c:numFmt formatCode="General" sourceLinked="1"/>
        <c:majorTickMark val="out"/>
        <c:minorTickMark val="none"/>
        <c:tickLblPos val="nextTo"/>
        <c:crossAx val="245412624"/>
        <c:crosses val="autoZero"/>
        <c:auto val="1"/>
        <c:lblAlgn val="ctr"/>
        <c:lblOffset val="100"/>
        <c:tickMarkSkip val="3"/>
        <c:noMultiLvlLbl val="0"/>
      </c:catAx>
      <c:valAx>
        <c:axId val="245412624"/>
        <c:scaling>
          <c:orientation val="minMax"/>
          <c:max val="140"/>
          <c:min val="0"/>
        </c:scaling>
        <c:delete val="0"/>
        <c:axPos val="l"/>
        <c:majorGridlines/>
        <c:numFmt formatCode="#,##0_);\(#,##0\)" sourceLinked="0"/>
        <c:majorTickMark val="out"/>
        <c:minorTickMark val="none"/>
        <c:tickLblPos val="nextTo"/>
        <c:crossAx val="245412232"/>
        <c:crosses val="autoZero"/>
        <c:crossBetween val="between"/>
        <c:majorUnit val="50"/>
      </c:valAx>
      <c:valAx>
        <c:axId val="245615904"/>
        <c:scaling>
          <c:orientation val="minMax"/>
        </c:scaling>
        <c:delete val="1"/>
        <c:axPos val="r"/>
        <c:numFmt formatCode="General" sourceLinked="1"/>
        <c:majorTickMark val="out"/>
        <c:minorTickMark val="none"/>
        <c:tickLblPos val="none"/>
        <c:crossAx val="245616296"/>
        <c:crosses val="max"/>
        <c:crossBetween val="between"/>
      </c:valAx>
      <c:catAx>
        <c:axId val="245616296"/>
        <c:scaling>
          <c:orientation val="minMax"/>
        </c:scaling>
        <c:delete val="1"/>
        <c:axPos val="t"/>
        <c:numFmt formatCode="General" sourceLinked="1"/>
        <c:majorTickMark val="out"/>
        <c:minorTickMark val="none"/>
        <c:tickLblPos val="none"/>
        <c:crossAx val="245615904"/>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FF69-B493-46B7-9427-F4D9BCD0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194</Pages>
  <Words>73833</Words>
  <Characters>420849</Characters>
  <Application>Microsoft Office Word</Application>
  <DocSecurity>4</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Пользователь</cp:lastModifiedBy>
  <cp:revision>2</cp:revision>
  <cp:lastPrinted>2017-05-30T15:02:00Z</cp:lastPrinted>
  <dcterms:created xsi:type="dcterms:W3CDTF">2017-12-26T04:41:00Z</dcterms:created>
  <dcterms:modified xsi:type="dcterms:W3CDTF">2017-12-26T04:41:00Z</dcterms:modified>
</cp:coreProperties>
</file>